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3" w:rsidRPr="006C5935" w:rsidRDefault="00791EC3" w:rsidP="00791EC3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  <w:lang w:val="fr-BE"/>
        </w:rPr>
      </w:pPr>
      <w:r w:rsidRPr="006C5935">
        <w:rPr>
          <w:rFonts w:cs="Arial"/>
          <w:sz w:val="16"/>
          <w:lang w:val="fr-FR"/>
        </w:rPr>
        <w:t xml:space="preserve">Appliquer deux couches de </w:t>
      </w:r>
      <w:smartTag w:uri="urn:schemas-microsoft-com:office:smarttags" w:element="PersonName">
        <w:smartTagPr>
          <w:attr w:name="ProductID" w:val="la Peinture"/>
        </w:smartTagPr>
        <w:r w:rsidRPr="006C5935">
          <w:rPr>
            <w:rFonts w:cs="Arial"/>
            <w:sz w:val="16"/>
            <w:lang w:val="fr-FR"/>
          </w:rPr>
          <w:t xml:space="preserve">la </w:t>
        </w:r>
        <w:r w:rsidRPr="006C5935">
          <w:rPr>
            <w:rFonts w:cs="Arial"/>
            <w:b/>
            <w:sz w:val="16"/>
            <w:lang w:val="fr-FR"/>
          </w:rPr>
          <w:t>Peinture</w:t>
        </w:r>
      </w:smartTag>
      <w:r w:rsidRPr="006C5935">
        <w:rPr>
          <w:rFonts w:cs="Arial"/>
          <w:b/>
          <w:sz w:val="16"/>
          <w:lang w:val="fr-FR"/>
        </w:rPr>
        <w:t xml:space="preserve"> à Base de Résines Silicones WILLCO</w:t>
      </w:r>
      <w:r w:rsidRPr="006C5935">
        <w:rPr>
          <w:rFonts w:cs="Arial"/>
          <w:sz w:val="16"/>
          <w:lang w:val="fr-FR"/>
        </w:rPr>
        <w:t xml:space="preserve"> dans la couleur au choix.</w:t>
      </w:r>
    </w:p>
    <w:p w:rsidR="00791EC3" w:rsidRPr="006C593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La Peinture à Base de Résines Silicones WILLCO est une peinture matte 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à base de résines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silicones. Laisse très bien respirer le support et a en même temps 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une très grande imperméabilité.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Un très grand pouvoir couvrant et facile à appliquer. Sans 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plastifiants et insaponifiable.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La Peinture à Base de Résines Silicones WILLCO reste propr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e très longtemps et résiste aux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micro-organismes. A cause du caractère inorganique, la peint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ure a une élasticité limitée et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ne couvre pas les fissures. La Peinture à Base de Résines Silicones WILLCO sèche sans taches.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Densité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e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nviron 1,54 g/cm³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Teneur en COV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Valeur limite UE pou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r ce produit (Cat. A/c): 40 g/l.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Ce produit contient 33,8 g/l.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Liant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é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mulsion de résines silicones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Indicateur de durabilité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c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onforme à la Directive Deco-Paint 2004/42/UE, annexe I et II</w:t>
      </w:r>
    </w:p>
    <w:p w:rsid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>
        <w:rPr>
          <w:rFonts w:asciiTheme="minorHAnsi" w:hAnsiTheme="minorHAnsi" w:cs="Arial"/>
          <w:sz w:val="16"/>
          <w:szCs w:val="16"/>
          <w:lang w:val="fr-BE"/>
        </w:rPr>
        <w:t xml:space="preserve">Composition selon la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directive VdL</w:t>
      </w:r>
      <w:r>
        <w:rPr>
          <w:rFonts w:asciiTheme="minorHAnsi" w:hAnsiTheme="minorHAnsi" w:cs="Arial"/>
          <w:sz w:val="16"/>
          <w:szCs w:val="16"/>
          <w:lang w:val="fr-BE"/>
        </w:rPr>
        <w:t> : é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mulsion de résines silicones, dispersion styrè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ne-acrylate,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dioxyde de titane, des charge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s carbonate, des additifs &amp; des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agents de conservation. Contien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t comme agents de conservation: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benzisothiazolinon et methylisothiazolinon.</w:t>
      </w:r>
    </w:p>
    <w:p w:rsidR="005423A5" w:rsidRPr="00A807EE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Diluant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d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e l’eau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807EE">
        <w:rPr>
          <w:rFonts w:asciiTheme="minorHAnsi" w:hAnsiTheme="minorHAnsi" w:cs="Arial"/>
          <w:sz w:val="16"/>
          <w:szCs w:val="16"/>
          <w:lang w:val="fr-BE"/>
        </w:rPr>
        <w:t>Couleur: à choisir vous-même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u w:val="single"/>
          <w:lang w:val="fr-BE"/>
        </w:rPr>
      </w:pPr>
      <w:r w:rsidRPr="005423A5">
        <w:rPr>
          <w:rFonts w:asciiTheme="minorHAnsi" w:hAnsiTheme="minorHAnsi" w:cs="Arial"/>
          <w:sz w:val="16"/>
          <w:szCs w:val="16"/>
          <w:u w:val="single"/>
          <w:lang w:val="fr-FR"/>
        </w:rPr>
        <w:t>Specificaties selon</w:t>
      </w:r>
      <w:r w:rsidRPr="005423A5">
        <w:rPr>
          <w:rFonts w:asciiTheme="minorHAnsi" w:hAnsiTheme="minorHAnsi" w:cs="Arial"/>
          <w:sz w:val="16"/>
          <w:szCs w:val="16"/>
          <w:u w:val="single"/>
          <w:lang w:val="fr-BE"/>
        </w:rPr>
        <w:t xml:space="preserve"> </w:t>
      </w:r>
      <w:r w:rsidRPr="005423A5">
        <w:rPr>
          <w:rFonts w:asciiTheme="minorHAnsi" w:hAnsiTheme="minorHAnsi" w:cs="Arial"/>
          <w:sz w:val="16"/>
          <w:szCs w:val="16"/>
          <w:u w:val="single"/>
          <w:lang w:val="fr-BE"/>
        </w:rPr>
        <w:t>DIN EN 1062</w:t>
      </w:r>
      <w:r>
        <w:rPr>
          <w:rFonts w:asciiTheme="minorHAnsi" w:hAnsiTheme="minorHAnsi" w:cs="Arial"/>
          <w:sz w:val="16"/>
          <w:szCs w:val="16"/>
          <w:u w:val="single"/>
          <w:lang w:val="fr-BE"/>
        </w:rPr>
        <w:t> :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Brillance à 85°: G3 mat (&lt; 4)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Épaisseur de la couche (sec): E3 100 – 200 μm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Taille du grain: S1 &lt; 100 μm (fin)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Perméabilité à la vapeur d’eau (Valeur Sd): V1 (haut) &lt; 0,14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Perméabilité à l’eau (Valeur W): W3 (bas) &lt; 0,10 kg/m2h0,5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Perméabilité du carbone: C0 (aucun prérequis)</w:t>
      </w:r>
    </w:p>
    <w:p w:rsid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>La Peinture à Base de Résines Silicones WILLCO est prête à l’emploi, mais peut néanmoins ê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tre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mélangée avec un peu d’eau pour une application plus facile. Bien mélanger avant l’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usage,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avec un malaxeur à vitesse lente.</w:t>
      </w:r>
    </w:p>
    <w:p w:rsid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>Les matériaux avec des numéros de production différents doivent ou bien être mélangé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s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entre eux ou bien être appliqués séparément. Le numéro de production se trouve sur le seau.</w:t>
      </w: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>Suite des différentes couches</w:t>
      </w:r>
      <w:r w:rsidR="003D3374">
        <w:rPr>
          <w:rFonts w:asciiTheme="minorHAnsi" w:hAnsiTheme="minorHAnsi" w:cs="Arial"/>
          <w:sz w:val="16"/>
          <w:szCs w:val="16"/>
          <w:lang w:val="fr-BE"/>
        </w:rPr>
        <w:t> :</w:t>
      </w:r>
      <w:bookmarkStart w:id="0" w:name="_GoBack"/>
      <w:bookmarkEnd w:id="0"/>
    </w:p>
    <w:p w:rsidR="00A75AF4" w:rsidRPr="00A75AF4" w:rsidRDefault="00A75AF4" w:rsidP="00A75AF4">
      <w:pPr>
        <w:pStyle w:val="Plattetekst"/>
        <w:ind w:left="1410" w:hanging="105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 xml:space="preserve">1° couche: </w:t>
      </w:r>
      <w:r>
        <w:rPr>
          <w:rFonts w:asciiTheme="minorHAnsi" w:hAnsiTheme="minorHAnsi" w:cs="Arial"/>
          <w:sz w:val="16"/>
          <w:szCs w:val="16"/>
          <w:lang w:val="fr-BE"/>
        </w:rPr>
        <w:tab/>
      </w:r>
      <w:r w:rsidRPr="00A75AF4">
        <w:rPr>
          <w:rFonts w:asciiTheme="minorHAnsi" w:hAnsiTheme="minorHAnsi" w:cs="Arial"/>
          <w:sz w:val="16"/>
          <w:szCs w:val="16"/>
          <w:lang w:val="fr-BE"/>
        </w:rPr>
        <w:t>Diluer la Peinture à Base de Résines Silicones WILLCO avec au maximum 5% d’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eau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et appliquer bien couvrant avec une brosse ou avec un rouleau.</w:t>
      </w: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 xml:space="preserve">2° couche: </w:t>
      </w:r>
      <w:r>
        <w:rPr>
          <w:rFonts w:asciiTheme="minorHAnsi" w:hAnsiTheme="minorHAnsi" w:cs="Arial"/>
          <w:sz w:val="16"/>
          <w:szCs w:val="16"/>
          <w:lang w:val="fr-BE"/>
        </w:rPr>
        <w:tab/>
      </w:r>
      <w:r w:rsidRPr="00A75AF4">
        <w:rPr>
          <w:rFonts w:asciiTheme="minorHAnsi" w:hAnsiTheme="minorHAnsi" w:cs="Arial"/>
          <w:sz w:val="16"/>
          <w:szCs w:val="16"/>
          <w:lang w:val="fr-BE"/>
        </w:rPr>
        <w:t>Après séchage de la première couche, 10 heures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 au minimum, appliquer avec une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brosse ou avec un rouleau.</w:t>
      </w:r>
    </w:p>
    <w:p w:rsidR="00791EC3" w:rsidRPr="006C5935" w:rsidRDefault="00791EC3" w:rsidP="00A75AF4">
      <w:pPr>
        <w:pStyle w:val="Plattetekst"/>
        <w:rPr>
          <w:rFonts w:asciiTheme="minorHAnsi" w:hAnsiTheme="minorHAnsi" w:cs="Arial"/>
          <w:sz w:val="16"/>
          <w:szCs w:val="16"/>
          <w:lang w:val="fr-BE"/>
        </w:rPr>
      </w:pPr>
    </w:p>
    <w:p w:rsidR="00791EC3" w:rsidRPr="006C5935" w:rsidRDefault="00791EC3" w:rsidP="00791EC3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6C5935">
        <w:rPr>
          <w:rFonts w:asciiTheme="minorHAnsi" w:hAnsiTheme="minorHAnsi" w:cs="Arial"/>
          <w:sz w:val="16"/>
          <w:szCs w:val="16"/>
          <w:lang w:val="fr-BE"/>
        </w:rPr>
        <w:t xml:space="preserve">Consommation: environ </w:t>
      </w:r>
      <w:r w:rsidR="00A75AF4">
        <w:rPr>
          <w:rFonts w:asciiTheme="minorHAnsi" w:hAnsiTheme="minorHAnsi" w:cs="Arial"/>
          <w:sz w:val="16"/>
          <w:szCs w:val="16"/>
          <w:lang w:val="fr-BE"/>
        </w:rPr>
        <w:t>4</w:t>
      </w:r>
      <w:r w:rsidRPr="006C5935">
        <w:rPr>
          <w:rFonts w:asciiTheme="minorHAnsi" w:hAnsiTheme="minorHAnsi" w:cs="Arial"/>
          <w:sz w:val="16"/>
          <w:szCs w:val="16"/>
          <w:lang w:val="fr-BE"/>
        </w:rPr>
        <w:t>00-500 ml/m² en deux couches.</w:t>
      </w:r>
    </w:p>
    <w:p w:rsidR="00791EC3" w:rsidRPr="006C5935" w:rsidRDefault="00791EC3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6C5935">
        <w:rPr>
          <w:rFonts w:asciiTheme="minorHAnsi" w:hAnsiTheme="minorHAnsi" w:cs="Arial"/>
          <w:sz w:val="16"/>
          <w:szCs w:val="16"/>
          <w:lang w:val="fr-BE"/>
        </w:rPr>
        <w:t>La consommation dépend de la force d’absorption du support; mais aussi de l’application.</w:t>
      </w:r>
    </w:p>
    <w:p w:rsidR="00791EC3" w:rsidRPr="006C5935" w:rsidRDefault="00791EC3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6C5935">
        <w:rPr>
          <w:rFonts w:asciiTheme="minorHAnsi" w:hAnsiTheme="minorHAnsi" w:cs="Arial"/>
          <w:sz w:val="16"/>
          <w:szCs w:val="16"/>
          <w:lang w:val="fr-BE"/>
        </w:rPr>
        <w:t>Pour connaître la consommation exacte, il est nécessaire de faire des échantillons sur le support en question.</w:t>
      </w:r>
    </w:p>
    <w:p w:rsidR="00A807EE" w:rsidRPr="00A75AF4" w:rsidRDefault="00A75AF4" w:rsidP="00A75A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16"/>
          <w:szCs w:val="16"/>
          <w:lang w:val="fr-BE" w:eastAsia="nl-NL"/>
        </w:rPr>
      </w:pPr>
      <w:r w:rsidRPr="00A75AF4">
        <w:rPr>
          <w:rFonts w:eastAsia="Times New Roman" w:cs="Arial"/>
          <w:sz w:val="16"/>
          <w:szCs w:val="16"/>
          <w:lang w:val="fr-BE" w:eastAsia="nl-NL"/>
        </w:rPr>
        <w:t>Protéger la peinture fraîche contre la pluie et l’humidité. Le temps de séchage est plus long</w:t>
      </w:r>
      <w:r>
        <w:rPr>
          <w:rFonts w:eastAsia="Times New Roman" w:cs="Arial"/>
          <w:sz w:val="16"/>
          <w:szCs w:val="16"/>
          <w:lang w:val="fr-BE" w:eastAsia="nl-NL"/>
        </w:rPr>
        <w:t xml:space="preserve"> </w:t>
      </w:r>
      <w:r w:rsidRPr="00A75AF4">
        <w:rPr>
          <w:rFonts w:eastAsia="Times New Roman" w:cs="Arial"/>
          <w:sz w:val="16"/>
          <w:szCs w:val="16"/>
          <w:lang w:val="fr-BE" w:eastAsia="nl-NL"/>
        </w:rPr>
        <w:t>au moment d’une humidité d’air relativement haute et de tempé</w:t>
      </w:r>
      <w:r>
        <w:rPr>
          <w:rFonts w:eastAsia="Times New Roman" w:cs="Arial"/>
          <w:sz w:val="16"/>
          <w:szCs w:val="16"/>
          <w:lang w:val="fr-BE" w:eastAsia="nl-NL"/>
        </w:rPr>
        <w:t xml:space="preserve">ratures basses. Dans des </w:t>
      </w:r>
      <w:r w:rsidRPr="00A75AF4">
        <w:rPr>
          <w:rFonts w:eastAsia="Times New Roman" w:cs="Arial"/>
          <w:sz w:val="16"/>
          <w:szCs w:val="16"/>
          <w:lang w:val="fr-BE" w:eastAsia="nl-NL"/>
        </w:rPr>
        <w:t>circonstances normales (20°C / 65% d’humidité relative), la peinture est peintable aprè</w:t>
      </w:r>
      <w:r>
        <w:rPr>
          <w:rFonts w:eastAsia="Times New Roman" w:cs="Arial"/>
          <w:sz w:val="16"/>
          <w:szCs w:val="16"/>
          <w:lang w:val="fr-BE" w:eastAsia="nl-NL"/>
        </w:rPr>
        <w:t xml:space="preserve">s </w:t>
      </w:r>
      <w:r w:rsidRPr="00A75AF4">
        <w:rPr>
          <w:rFonts w:cs="Arial"/>
          <w:sz w:val="16"/>
          <w:szCs w:val="16"/>
          <w:lang w:val="fr-BE"/>
        </w:rPr>
        <w:t>environ 10 heures et complètement sec après environ 3 jours.</w:t>
      </w:r>
    </w:p>
    <w:sectPr w:rsidR="00A807EE" w:rsidRPr="00A7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9"/>
    <w:rsid w:val="0002081A"/>
    <w:rsid w:val="002D69A2"/>
    <w:rsid w:val="003D3374"/>
    <w:rsid w:val="005423A5"/>
    <w:rsid w:val="00791EC3"/>
    <w:rsid w:val="00A75AF4"/>
    <w:rsid w:val="00A807EE"/>
    <w:rsid w:val="00F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E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62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6231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54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E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62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6231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54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2384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7</cp:revision>
  <dcterms:created xsi:type="dcterms:W3CDTF">2017-03-20T13:38:00Z</dcterms:created>
  <dcterms:modified xsi:type="dcterms:W3CDTF">2017-11-28T08:05:00Z</dcterms:modified>
</cp:coreProperties>
</file>